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Šajā tabulā ir Eiropas Komisijas logotips kreisajā slejā un informācija par parakstītājorganizāciju vai autororganizāciju labajā slejā."/>
      </w:tblPr>
      <w:tblGrid>
        <w:gridCol w:w="2400"/>
        <w:gridCol w:w="7080"/>
      </w:tblGrid>
      <w:sdt>
        <w:sdtPr>
          <w:rPr>
            <w:sz w:val="16"/>
          </w:rPr>
          <w:alias w:val="EC Header - Standard"/>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color w:val="2B579A"/>
                    <w:shd w:val="clear" w:color="auto" w:fill="E6E6E6"/>
                  </w:rPr>
                  <w:drawing>
                    <wp:inline distT="0" distB="0" distL="0" distR="0" wp14:anchorId="528B0FAA" wp14:editId="3BE4CA6B">
                      <wp:extent cx="1371600" cy="676800"/>
                      <wp:effectExtent l="0" t="0" r="0" b="0"/>
                      <wp:docPr id="1" name="Picture 1" descr="Eiropas Komisijas logotips: 12 aplī izkārtotas dzeltenas zvaigznes uz zila fona, ko aptver divi gaiši pelēki grafiski elementi, kuri attēlo Eiropas Komisijas galveno biroju, Berlaymont ē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954723">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t xml:space="preserve">EIROPAS KOMISIJA</w:t>
                    </w:r>
                  </w:sdtContent>
                </w:sdt>
              </w:p>
              <w:p w14:paraId="2074A464" w14:textId="39B41681" w:rsidR="00FE373C" w:rsidRPr="007F14FC" w:rsidRDefault="00954723">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Pr>
                        <w:caps/>
                      </w:rPr>
                      <w:t xml:space="preserve">Nodarbinātības, sociālo lietu un iekļautības ĢENERĀLDIREKTORĀTS</w:t>
                    </w:r>
                  </w:sdtContent>
                </w:sdt>
              </w:p>
              <w:p w14:paraId="35D34AB3" w14:textId="77777777" w:rsidR="00FE373C" w:rsidRPr="007F14FC" w:rsidRDefault="00FE373C">
                <w:pPr>
                  <w:pStyle w:val="ZDGName"/>
                </w:pPr>
              </w:p>
              <w:p w14:paraId="05E57B9D" w14:textId="4CD0133A" w:rsidR="00FE373C" w:rsidRPr="007F14FC" w:rsidRDefault="00954723">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t xml:space="preserve">E direktorāts: darbaspēka mobilitāte un starptautiskie jautājumi</w:t>
                    </w:r>
                  </w:sdtContent>
                </w:sdt>
              </w:p>
              <w:p w14:paraId="4FC3ED8E" w14:textId="657E7308" w:rsidR="00FE373C" w:rsidRPr="007F14FC" w:rsidRDefault="00954723"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Pr>
                        <w:b/>
                      </w:rPr>
                      <w:t xml:space="preserve">E1 nodaļa: darbaspēka mobilitāte, valsts nodarbinātības dienesti, EDI</w:t>
                    </w:r>
                  </w:sdtContent>
                </w:sdt>
              </w:p>
            </w:tc>
          </w:tr>
        </w:sdtContent>
      </w:sdt>
    </w:tbl>
    <w:p w14:paraId="40810E1C" w14:textId="615BFA28" w:rsidR="007F14FC" w:rsidRPr="00B95F32" w:rsidRDefault="007F14FC" w:rsidP="001F4C2B">
      <w:pPr>
        <w:pStyle w:val="Heading2"/>
      </w:pPr>
      <w:r>
        <w:rPr>
          <w:i/>
          <w:iCs/>
        </w:rPr>
        <w:t xml:space="preserve">Europass</w:t>
      </w:r>
      <w:r>
        <w:t xml:space="preserve"> piekļūstamības paziņojums</w:t>
      </w:r>
    </w:p>
    <w:p w14:paraId="4078DA32" w14:textId="740123A6" w:rsidR="007F14FC" w:rsidRPr="007F14FC" w:rsidRDefault="35E89FFF" w:rsidP="007F14FC">
      <w:pPr>
        <w:pStyle w:val="Text1"/>
        <w:ind w:left="0"/>
      </w:pPr>
      <w:r>
        <w:t xml:space="preserve">Šis paziņojums attiecas uz saturu, kas publicēts šādā domēnā:</w:t>
      </w:r>
      <w:r>
        <w:t xml:space="preserve"> </w:t>
      </w:r>
      <w:hyperlink r:id="rId12">
        <w:r>
          <w:rPr>
            <w:rStyle w:val="Hyperlink"/>
          </w:rPr>
          <w:t xml:space="preserve">https://europa.eu/europass</w:t>
        </w:r>
      </w:hyperlink>
      <w:r>
        <w:t xml:space="preserve"> un visos tā apakšdomēnos.</w:t>
      </w:r>
      <w:r>
        <w:t xml:space="preserve"> </w:t>
      </w:r>
    </w:p>
    <w:p w14:paraId="54D3743B" w14:textId="6748B4D5" w:rsidR="007F14FC" w:rsidRPr="007F14FC" w:rsidRDefault="35E89FFF" w:rsidP="007F14FC">
      <w:pPr>
        <w:pStyle w:val="Text1"/>
        <w:ind w:left="0"/>
      </w:pPr>
      <w:r>
        <w:t xml:space="preserve">Šo tīmekļvietni pārvalda EMPL ĢD E1 nodaļa.</w:t>
      </w:r>
      <w:r>
        <w:t xml:space="preserve"> </w:t>
      </w:r>
      <w:r>
        <w:t xml:space="preserve">Tā ir īpaši pielāgota, lai to varētu izmantot pēc iespējas plašāks cilvēku loks, tai skaitā cilvēki ar invaliditāti.</w:t>
      </w:r>
    </w:p>
    <w:p w14:paraId="4F1ECE61" w14:textId="77777777" w:rsidR="00E35A7A" w:rsidRPr="007F14FC" w:rsidRDefault="00E35A7A" w:rsidP="00E35A7A">
      <w:r>
        <w:t xml:space="preserve">Jums jābūt pieejamām šādām funkcijām:</w:t>
      </w:r>
    </w:p>
    <w:p w14:paraId="1F89F2F7" w14:textId="14FAC846" w:rsidR="00225512" w:rsidRPr="00AF1993" w:rsidRDefault="00AC4598" w:rsidP="009D007D">
      <w:pPr>
        <w:pStyle w:val="ListParagraph"/>
        <w:numPr>
          <w:ilvl w:val="0"/>
          <w:numId w:val="38"/>
        </w:numPr>
      </w:pPr>
      <w:r>
        <w:t xml:space="preserve">tālummaiņa līdz 200 %,</w:t>
      </w:r>
    </w:p>
    <w:p w14:paraId="0A3AB54A" w14:textId="77777777" w:rsidR="00225512" w:rsidRPr="00AF1993" w:rsidRDefault="00225512" w:rsidP="00225512">
      <w:pPr>
        <w:pStyle w:val="ListParagraph"/>
        <w:numPr>
          <w:ilvl w:val="0"/>
          <w:numId w:val="38"/>
        </w:numPr>
      </w:pPr>
      <w:r>
        <w:t xml:space="preserve">pārskatīt vairumu tīmekļvietnes sadaļu, izmantojot tikai tastatūru,</w:t>
      </w:r>
    </w:p>
    <w:p w14:paraId="520AE6B3" w14:textId="105D7D13" w:rsidR="000126E5" w:rsidRPr="00AF1993" w:rsidRDefault="00225512" w:rsidP="009D007D">
      <w:pPr>
        <w:pStyle w:val="ListParagraph"/>
        <w:numPr>
          <w:ilvl w:val="0"/>
          <w:numId w:val="33"/>
        </w:numPr>
      </w:pPr>
      <w:r>
        <w:t xml:space="preserve">pārvietošanās pa vietni, izmantojot modernu ekrāna lasītāju un runas atpazīšanas programmatūru (datorā vai viedtālrunī).</w:t>
      </w:r>
      <w:r>
        <w:t xml:space="preserve"> </w:t>
      </w:r>
    </w:p>
    <w:p w14:paraId="1A4510C6" w14:textId="3A06EEAA" w:rsidR="00E35A7A" w:rsidRPr="007F14FC" w:rsidRDefault="00E35A7A" w:rsidP="000126E5">
      <w:r>
        <w:t xml:space="preserve">Šī tīmekļvietne ir veidota tā, lai tā atbilstu </w:t>
      </w:r>
      <w:hyperlink r:id="rId13">
        <w:r>
          <w:rPr>
            <w:color w:val="0563C1" w:themeColor="hyperlink"/>
            <w:u w:val="single"/>
          </w:rPr>
          <w:t xml:space="preserve">tīmekļvietnēm un mobilajām lietotnēm noteiktajam standartam EN 301 549 v.3.2.1</w:t>
        </w:r>
      </w:hyperlink>
      <w:r>
        <w:t xml:space="preserve">.</w:t>
      </w:r>
      <w:r>
        <w:t xml:space="preserve"> </w:t>
      </w:r>
      <w:r>
        <w:t xml:space="preserve">Tā atbilst </w:t>
      </w:r>
      <w:hyperlink r:id="rId14">
        <w:r>
          <w:rPr>
            <w:color w:val="0563C1" w:themeColor="hyperlink"/>
            <w:u w:val="single"/>
          </w:rPr>
          <w:t xml:space="preserve">Tīmekļa satura piekļūstamības pamatnostādņu (</w:t>
        </w:r>
        <w:r>
          <w:rPr>
            <w:color w:val="0563C1" w:themeColor="hyperlink"/>
            <w:u w:val="single"/>
            <w:i/>
            <w:iCs/>
          </w:rPr>
          <w:t xml:space="preserve">WCAG</w:t>
        </w:r>
        <w:r>
          <w:rPr>
            <w:color w:val="0563C1" w:themeColor="hyperlink"/>
            <w:u w:val="single"/>
          </w:rPr>
          <w:t xml:space="preserve">) 2.1 līmenim</w:t>
        </w:r>
      </w:hyperlink>
      <w:r>
        <w:t xml:space="preserve"> “AA”.</w:t>
      </w:r>
    </w:p>
    <w:p w14:paraId="66A12D4E" w14:textId="77777777" w:rsidR="00E35A7A" w:rsidRPr="00E35A7A" w:rsidRDefault="00E35A7A" w:rsidP="00E35A7A">
      <w:pPr>
        <w:keepNext/>
        <w:spacing w:after="0"/>
        <w:jc w:val="left"/>
        <w:outlineLvl w:val="1"/>
        <w:rPr>
          <w:b/>
        </w:rPr>
      </w:pPr>
      <w:r>
        <w:rPr>
          <w:b/>
        </w:rPr>
        <w:t xml:space="preserve">Atbilstības statuss</w:t>
      </w:r>
      <w:r>
        <w:rPr>
          <w:b/>
        </w:rPr>
        <w:br/>
      </w:r>
    </w:p>
    <w:p w14:paraId="66C3D011" w14:textId="6AC3AC33" w:rsidR="00225512" w:rsidRPr="00E84E56" w:rsidRDefault="0AC43EA8" w:rsidP="00225512">
      <w:r>
        <w:t xml:space="preserve">Šī tīmekļvietne daļēji </w:t>
      </w:r>
      <w:r>
        <w:rPr>
          <w:b/>
        </w:rPr>
        <w:t xml:space="preserve">atbilst</w:t>
      </w:r>
      <w:r>
        <w:t xml:space="preserve"> </w:t>
      </w:r>
      <w:hyperlink r:id="rId15">
        <w:r>
          <w:rPr>
            <w:rStyle w:val="Hyperlink"/>
          </w:rPr>
          <w:t xml:space="preserve">tehniskajam standartam EN 301 549 v.3.2.1</w:t>
        </w:r>
      </w:hyperlink>
      <w:r>
        <w:t xml:space="preserve"> un </w:t>
      </w:r>
      <w:hyperlink r:id="rId16">
        <w:r>
          <w:rPr>
            <w:rStyle w:val="Hyperlink"/>
          </w:rPr>
          <w:t xml:space="preserve">Tīmekļa satura piekļūstamības pamatnostādņu (</w:t>
        </w:r>
        <w:r>
          <w:rPr>
            <w:rStyle w:val="Hyperlink"/>
            <w:i/>
            <w:iCs/>
          </w:rPr>
          <w:t xml:space="preserve">WCAG</w:t>
        </w:r>
        <w:r>
          <w:rPr>
            <w:rStyle w:val="Hyperlink"/>
          </w:rPr>
          <w:t xml:space="preserve">) 2.1  līmenim “AA”</w:t>
        </w:r>
      </w:hyperlink>
      <w:r>
        <w:t xml:space="preserve">.</w:t>
      </w:r>
      <w:r>
        <w:t xml:space="preserve"> </w:t>
      </w:r>
      <w:r>
        <w:t xml:space="preserve">Sīkāku informāciju skatiet sadaļā </w:t>
      </w:r>
      <w:hyperlink w:anchor="_Non-accessible_content">
        <w:r>
          <w:rPr>
            <w:rStyle w:val="Hyperlink"/>
          </w:rPr>
          <w:t xml:space="preserve">“Nepiekļūstams saturs”</w:t>
        </w:r>
      </w:hyperlink>
      <w:r>
        <w:t xml:space="preserve">.</w:t>
      </w:r>
    </w:p>
    <w:p w14:paraId="4146F897" w14:textId="0C4BE212" w:rsidR="00E35A7A" w:rsidRPr="007F14FC" w:rsidRDefault="00E35A7A" w:rsidP="00E35A7A">
      <w:r>
        <w:t xml:space="preserve">Tīmekļvietne pēdējo reizi testēta 2023. gada aprīlī</w:t>
      </w:r>
    </w:p>
    <w:p w14:paraId="5ABBA2F4" w14:textId="77777777" w:rsidR="00E35A7A" w:rsidRPr="00E35A7A" w:rsidRDefault="00E35A7A" w:rsidP="00E35A7A">
      <w:pPr>
        <w:keepNext/>
        <w:spacing w:after="0"/>
        <w:jc w:val="left"/>
        <w:outlineLvl w:val="1"/>
        <w:rPr>
          <w:b/>
        </w:rPr>
      </w:pPr>
      <w:r>
        <w:rPr>
          <w:b/>
        </w:rPr>
        <w:t xml:space="preserve">Paziņojuma sagatavošana</w:t>
      </w:r>
    </w:p>
    <w:p w14:paraId="6B674C45" w14:textId="4612CB79" w:rsidR="00E35A7A" w:rsidRDefault="00E35A7A" w:rsidP="00E35A7A">
      <w:r>
        <w:br/>
      </w:r>
      <w:r>
        <w:t xml:space="preserve">Šis paziņojums sagatavots 2023. gada 15. decembrī.</w:t>
      </w:r>
    </w:p>
    <w:p w14:paraId="2918FEE8" w14:textId="77777777" w:rsidR="00E35A7A" w:rsidRPr="00E35A7A" w:rsidRDefault="00E35A7A" w:rsidP="00E35A7A">
      <w:pPr>
        <w:keepNext/>
        <w:spacing w:after="0"/>
        <w:jc w:val="left"/>
        <w:outlineLvl w:val="1"/>
        <w:rPr>
          <w:b/>
        </w:rPr>
      </w:pPr>
      <w:r>
        <w:rPr>
          <w:b/>
        </w:rPr>
        <w:t xml:space="preserve">Atsauksmes</w:t>
      </w:r>
    </w:p>
    <w:p w14:paraId="3EF7E625" w14:textId="563019B3" w:rsidR="00E35A7A" w:rsidRPr="007F14FC" w:rsidRDefault="00E35A7A" w:rsidP="00E35A7A">
      <w:r>
        <w:br/>
      </w:r>
      <w:r>
        <w:t xml:space="preserve">Labprāt uzklausīsim jūsu atsauksmes par tīmekļvietnes </w:t>
      </w:r>
      <w:r>
        <w:rPr>
          <w:i/>
          <w:iCs/>
        </w:rPr>
        <w:t xml:space="preserve">Europass</w:t>
      </w:r>
      <w:r>
        <w:t xml:space="preserve"> piekļūstamību.</w:t>
      </w:r>
      <w:r>
        <w:t xml:space="preserve"> </w:t>
      </w:r>
      <w:r>
        <w:t xml:space="preserve">Ja saskaraties ar šķēršļiem, kas ietekmē šīs vietnes piekļūstamību, sazinieties ar mums:</w:t>
      </w:r>
    </w:p>
    <w:p w14:paraId="4744E771" w14:textId="5A871DF4" w:rsidR="00E35A7A" w:rsidRPr="00EC59D7" w:rsidRDefault="00225512" w:rsidP="009D007D">
      <w:pPr>
        <w:numPr>
          <w:ilvl w:val="0"/>
          <w:numId w:val="23"/>
        </w:numPr>
        <w:ind w:left="720"/>
      </w:pPr>
      <w:r>
        <w:t xml:space="preserve">Tālrunis:</w:t>
      </w:r>
      <w:r>
        <w:t xml:space="preserve"> </w:t>
      </w:r>
      <w:r>
        <w:t xml:space="preserve">zvaniet uz </w:t>
      </w:r>
      <w:r>
        <w:rPr>
          <w:b/>
        </w:rPr>
        <w:t xml:space="preserve">00 800 6 7 8 9 10 11</w:t>
      </w:r>
      <w:r>
        <w:t xml:space="preserve"> no jebkuras vietas ES darbadienās plkst. 9.00–18.00 (pēc Centrāleiropas laika) jebkurā no ES oficiālajām valodām (zvani ir bezmaksas).</w:t>
      </w:r>
      <w:r>
        <w:t xml:space="preserve"> </w:t>
      </w:r>
    </w:p>
    <w:p w14:paraId="6EAA89C5" w14:textId="3B41C853" w:rsidR="00EC59D7" w:rsidRPr="00EC59D7" w:rsidRDefault="00E35A7A" w:rsidP="5AC6E6F2">
      <w:pPr>
        <w:numPr>
          <w:ilvl w:val="0"/>
          <w:numId w:val="23"/>
        </w:numPr>
        <w:ind w:left="720"/>
        <w:rPr>
          <w:rStyle w:val="Hyperlink"/>
        </w:rPr>
      </w:pPr>
      <w:r>
        <w:t xml:space="preserve">Atsauksmju veidlapa:</w:t>
      </w:r>
      <w:r>
        <w:t xml:space="preserve"> </w:t>
      </w:r>
      <w:r>
        <w:t xml:space="preserve">rakstiet mums, izmantojot </w:t>
      </w:r>
      <w:hyperlink r:id="rId17">
        <w:r>
          <w:rPr>
            <w:rStyle w:val="Hyperlink"/>
            <w:i/>
            <w:iCs/>
          </w:rPr>
          <w:t xml:space="preserve">Europass</w:t>
        </w:r>
        <w:r>
          <w:rPr>
            <w:rStyle w:val="Hyperlink"/>
          </w:rPr>
          <w:t xml:space="preserve"> saziņas veidlapu</w:t>
        </w:r>
      </w:hyperlink>
    </w:p>
    <w:p w14:paraId="73D4BBF7" w14:textId="5F54F931" w:rsidR="00E35A7A" w:rsidRDefault="00E35A7A" w:rsidP="00EC59D7">
      <w:r>
        <w:t xml:space="preserve">Centīsimies atbildēt 15 darba dienu laikā no dienas, kad atbildīgais Komisijas dienests saņēmis pieprasījumu.</w:t>
      </w:r>
    </w:p>
    <w:p w14:paraId="433BF82E" w14:textId="77777777" w:rsidR="00EC7351" w:rsidRPr="00EC7351" w:rsidRDefault="00EC7351" w:rsidP="00EC7351">
      <w:pPr>
        <w:keepNext/>
        <w:spacing w:after="0"/>
        <w:jc w:val="left"/>
        <w:outlineLvl w:val="1"/>
        <w:rPr>
          <w:b/>
        </w:rPr>
      </w:pPr>
      <w:r>
        <w:rPr>
          <w:b/>
        </w:rPr>
        <w:t xml:space="preserve">Saderība ar pārlūkprogrammām un palīgtehnoloģijām</w:t>
      </w:r>
    </w:p>
    <w:p w14:paraId="6EACC384" w14:textId="0AEFAC39" w:rsidR="00EC7351" w:rsidRPr="007F14FC" w:rsidRDefault="00EC7351" w:rsidP="00EC7351">
      <w:pPr>
        <w:jc w:val="left"/>
      </w:pPr>
      <w:r>
        <w:br/>
      </w:r>
      <w:r>
        <w:rPr>
          <w:i/>
          <w:iCs/>
        </w:rPr>
        <w:t xml:space="preserve">Europass</w:t>
      </w:r>
      <w:r>
        <w:t xml:space="preserve"> tīmekļvietne ir veidota tā, lai tā būtu saderīga ar šādām plaši lietotām palīgtehnoloģijām:</w:t>
      </w:r>
    </w:p>
    <w:p w14:paraId="1F6174D7" w14:textId="6B07A09C" w:rsidR="000338C5" w:rsidRPr="0052454F" w:rsidRDefault="5DCDB69A" w:rsidP="35D7FFF2">
      <w:pPr>
        <w:numPr>
          <w:ilvl w:val="0"/>
          <w:numId w:val="34"/>
        </w:numPr>
        <w:spacing w:after="100" w:afterAutospacing="1"/>
        <w:jc w:val="left"/>
      </w:pPr>
      <w:r>
        <w:t xml:space="preserve">“Google Chrome”, “Microsoft Edge”, “Mozilla Firefox” un “Microsoft Edge” pārlūkprogrammu jaunākā versija;</w:t>
      </w:r>
    </w:p>
    <w:p w14:paraId="3239328D" w14:textId="709706EC" w:rsidR="00785A54" w:rsidRDefault="5DCDB69A" w:rsidP="35D7FFF2">
      <w:pPr>
        <w:numPr>
          <w:ilvl w:val="0"/>
          <w:numId w:val="34"/>
        </w:numPr>
        <w:spacing w:before="100" w:beforeAutospacing="1" w:after="100" w:afterAutospacing="1"/>
        <w:jc w:val="left"/>
      </w:pPr>
      <w:r>
        <w:t xml:space="preserve"> </w:t>
      </w:r>
      <w:r>
        <w:t xml:space="preserve">apvienojumā ar jaunākajām palīgtehnoloģiju versijām.</w:t>
      </w:r>
      <w:r>
        <w:t xml:space="preserve">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 xml:space="preserve">Tehniskās specifikācijas</w:t>
      </w:r>
    </w:p>
    <w:p w14:paraId="56C786BB" w14:textId="77777777" w:rsidR="005A7954" w:rsidRDefault="005A7954" w:rsidP="00EC7351"/>
    <w:p w14:paraId="424F62F5" w14:textId="42F9DF13" w:rsidR="00EC7351" w:rsidRPr="007F14FC" w:rsidRDefault="00EC7351" w:rsidP="00EC7351">
      <w:r>
        <w:rPr>
          <w:i/>
          <w:iCs/>
        </w:rPr>
        <w:t xml:space="preserve">Europass</w:t>
      </w:r>
      <w:r>
        <w:t xml:space="preserve"> tīmekļvietnes piekļūstamība ir atkarīga no tā, kā zemāk minētās tehnoloģijas mijiedarbojas ar konkrētu tīmekļa pārlūkprogrammas un jebkādu jūsu datorā instalētu palīgtehnoloģiju vai spraudņu kombināciju:</w:t>
      </w:r>
    </w:p>
    <w:p w14:paraId="7A942931" w14:textId="77777777" w:rsidR="00EC7351" w:rsidRPr="007F14FC" w:rsidRDefault="00EC7351" w:rsidP="00EC7351">
      <w:pPr>
        <w:numPr>
          <w:ilvl w:val="0"/>
          <w:numId w:val="26"/>
        </w:numPr>
        <w:spacing w:after="0"/>
        <w:ind w:left="1077" w:hanging="357"/>
      </w:pPr>
      <w:r>
        <w:t xml:space="preserve">HTML</w:t>
      </w:r>
    </w:p>
    <w:p w14:paraId="20FD34FD" w14:textId="77777777" w:rsidR="00EC7351" w:rsidRPr="007F14FC" w:rsidRDefault="00EC7351" w:rsidP="00EC7351">
      <w:pPr>
        <w:numPr>
          <w:ilvl w:val="0"/>
          <w:numId w:val="26"/>
        </w:numPr>
        <w:spacing w:after="0"/>
        <w:ind w:left="1077" w:hanging="357"/>
      </w:pPr>
      <w:r>
        <w:t xml:space="preserve">WAI-ARIA</w:t>
      </w:r>
    </w:p>
    <w:p w14:paraId="2CE68EE0" w14:textId="77777777" w:rsidR="00EC7351" w:rsidRPr="007F14FC" w:rsidRDefault="00EC7351" w:rsidP="00EC7351">
      <w:pPr>
        <w:numPr>
          <w:ilvl w:val="0"/>
          <w:numId w:val="26"/>
        </w:numPr>
        <w:spacing w:after="0"/>
        <w:ind w:left="1077" w:hanging="357"/>
      </w:pPr>
      <w:r>
        <w:t xml:space="preserve">CSS</w:t>
      </w:r>
    </w:p>
    <w:p w14:paraId="2403ED5C" w14:textId="77777777" w:rsidR="00EC7351" w:rsidRPr="007F14FC" w:rsidRDefault="00EC7351" w:rsidP="00EC7351">
      <w:pPr>
        <w:numPr>
          <w:ilvl w:val="0"/>
          <w:numId w:val="26"/>
        </w:numPr>
        <w:spacing w:after="0"/>
        <w:ind w:left="1077" w:hanging="357"/>
      </w:pPr>
      <w:r>
        <w:t xml:space="preserve">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 xml:space="preserve">Nepiekļūstams saturs</w:t>
      </w:r>
    </w:p>
    <w:p w14:paraId="65E180EF" w14:textId="5B05AFB9" w:rsidR="00EC7351" w:rsidRDefault="755E7800" w:rsidP="5AC6E6F2">
      <w:pPr>
        <w:spacing w:before="180" w:line="276" w:lineRule="auto"/>
      </w:pPr>
      <w:r>
        <w:t xml:space="preserve">Lai gan esam apņēmušies nodrošināt </w:t>
      </w:r>
      <w:r>
        <w:rPr>
          <w:i/>
          <w:iCs/>
        </w:rPr>
        <w:t xml:space="preserve">Europass</w:t>
      </w:r>
      <w:r>
        <w:t xml:space="preserve"> tīmekļvietnes piekļūstamību, ir zināmi ierobežojumi, kurus cenšamies novērst.</w:t>
      </w:r>
      <w:r>
        <w:t xml:space="preserve"> </w:t>
      </w:r>
      <w:r>
        <w:t xml:space="preserve">Mēs novērtējam jūsu sapratni un pacietību, kamēr vēl strādājam pie šo jautājumu risināšanas.</w:t>
      </w:r>
      <w:r>
        <w:t xml:space="preserve"> </w:t>
      </w:r>
      <w:r>
        <w:t xml:space="preserve">Ja saskaraties ar piekļūstamības problēmām, kas nav norādītas zemāk, sazinieties ar mums.</w:t>
      </w:r>
    </w:p>
    <w:p w14:paraId="7912D527" w14:textId="3097ED04" w:rsidR="697DA1A5" w:rsidRDefault="160C0568" w:rsidP="200C443E">
      <w:pPr>
        <w:widowControl w:val="0"/>
        <w:spacing w:before="180" w:after="0" w:line="276" w:lineRule="auto"/>
      </w:pPr>
      <w:r>
        <w:rPr>
          <w:b/>
        </w:rPr>
        <w:t xml:space="preserve"> </w:t>
      </w:r>
      <w:r>
        <w:rPr>
          <w:b/>
          <w:bCs/>
        </w:rPr>
        <w:t xml:space="preserve">Zināmie ierobežojumi</w:t>
      </w:r>
      <w:r>
        <w:t xml:space="preserve"> (tos plānots novērst līdz 2024. gada beigām):</w:t>
      </w:r>
      <w:r>
        <w:t xml:space="preserve"> </w:t>
      </w:r>
    </w:p>
    <w:p w14:paraId="7767E01C" w14:textId="485029F8" w:rsidR="697DA1A5" w:rsidRDefault="31F81F0C" w:rsidP="200C443E">
      <w:pPr>
        <w:pStyle w:val="ListParagraph"/>
        <w:widowControl w:val="0"/>
        <w:numPr>
          <w:ilvl w:val="0"/>
          <w:numId w:val="1"/>
        </w:numPr>
        <w:spacing w:before="180" w:after="0" w:line="276" w:lineRule="auto"/>
      </w:pPr>
      <w:r>
        <w:t xml:space="preserve">dažām lapām var būt slikts krāsu kontrasts;</w:t>
      </w:r>
    </w:p>
    <w:p w14:paraId="02014850" w14:textId="3C6B2681" w:rsidR="00F1088A" w:rsidRPr="00AF1993" w:rsidRDefault="114595CF" w:rsidP="200C443E">
      <w:pPr>
        <w:pStyle w:val="ListParagraph"/>
        <w:widowControl w:val="0"/>
        <w:numPr>
          <w:ilvl w:val="0"/>
          <w:numId w:val="1"/>
        </w:numPr>
        <w:spacing w:after="0"/>
        <w:jc w:val="left"/>
      </w:pPr>
      <w:r>
        <w:t xml:space="preserve">dažas funkcijas nav pieejamas vai tām ir ierobežota pieejamība (vājš fokuss uz) lietotājiem, kuri izmanto tikai tastatūru;</w:t>
      </w:r>
    </w:p>
    <w:p w14:paraId="53F04822" w14:textId="5AF5DBE1" w:rsidR="00D924E7" w:rsidRDefault="114595CF" w:rsidP="200C443E">
      <w:pPr>
        <w:pStyle w:val="ListParagraph"/>
        <w:widowControl w:val="0"/>
        <w:numPr>
          <w:ilvl w:val="0"/>
          <w:numId w:val="1"/>
        </w:numPr>
        <w:spacing w:after="0"/>
        <w:jc w:val="left"/>
      </w:pPr>
      <w:r>
        <w:t xml:space="preserve">lielākajai daļai vizuālo materiālu nav aprakstu attiecīgajā valodā;</w:t>
      </w:r>
    </w:p>
    <w:p w14:paraId="35CC691A" w14:textId="24189EB3" w:rsidR="00EC59D7" w:rsidRPr="00AF1993" w:rsidRDefault="350041B7" w:rsidP="200C443E">
      <w:pPr>
        <w:pStyle w:val="ListParagraph"/>
        <w:widowControl w:val="0"/>
        <w:numPr>
          <w:ilvl w:val="0"/>
          <w:numId w:val="1"/>
        </w:numPr>
        <w:spacing w:after="0"/>
        <w:jc w:val="left"/>
      </w:pPr>
      <w:r>
        <w:t xml:space="preserve">dažos laukos nav ekrāna lasītāju vai līdzīgu palīgtehnoloģiju etiķešu;</w:t>
      </w:r>
    </w:p>
    <w:p w14:paraId="2160CF67" w14:textId="1842C882" w:rsidR="00D924E7" w:rsidRPr="00AF1993" w:rsidRDefault="114595CF" w:rsidP="200C443E">
      <w:pPr>
        <w:pStyle w:val="ListParagraph"/>
        <w:widowControl w:val="0"/>
        <w:numPr>
          <w:ilvl w:val="0"/>
          <w:numId w:val="1"/>
        </w:numPr>
        <w:spacing w:after="0"/>
        <w:jc w:val="left"/>
      </w:pPr>
      <w:r>
        <w:t xml:space="preserve">daži kļūdu ziņojumi nav skaidri saistīti ar veidlapas vadības elementiem;</w:t>
      </w:r>
    </w:p>
    <w:p w14:paraId="1A015EAA" w14:textId="34A2DFAA" w:rsidR="00D924E7" w:rsidRDefault="114595CF" w:rsidP="200C443E">
      <w:pPr>
        <w:pStyle w:val="ListParagraph"/>
        <w:widowControl w:val="0"/>
        <w:numPr>
          <w:ilvl w:val="0"/>
          <w:numId w:val="1"/>
        </w:numPr>
        <w:spacing w:after="0"/>
        <w:jc w:val="left"/>
      </w:pPr>
      <w:r>
        <w:t xml:space="preserve">daži dokumenti ir PDF formātā un tāpēc nav pieejami;</w:t>
      </w:r>
    </w:p>
    <w:p w14:paraId="080F47A3" w14:textId="035BC469" w:rsidR="00AC4598" w:rsidRDefault="114595CF" w:rsidP="200C443E">
      <w:pPr>
        <w:pStyle w:val="ListParagraph"/>
        <w:widowControl w:val="0"/>
        <w:numPr>
          <w:ilvl w:val="0"/>
          <w:numId w:val="1"/>
        </w:numPr>
        <w:spacing w:after="0"/>
        <w:jc w:val="left"/>
      </w:pPr>
      <w:r>
        <w:t xml:space="preserve">dažas lapas nav pilnībā pielāgotas ekrāna lasītājiem vai līdzīgām palīgtehnoloģijām;</w:t>
      </w:r>
    </w:p>
    <w:p w14:paraId="18FF54C3" w14:textId="2C0A54B5" w:rsidR="00AC4598" w:rsidRDefault="114595CF" w:rsidP="200C443E">
      <w:pPr>
        <w:pStyle w:val="ListParagraph"/>
        <w:widowControl w:val="0"/>
        <w:numPr>
          <w:ilvl w:val="0"/>
          <w:numId w:val="1"/>
        </w:numPr>
        <w:spacing w:after="0"/>
        <w:jc w:val="left"/>
      </w:pPr>
      <w:r>
        <w:t xml:space="preserve">daži uzraksti nav pareizi strukturēti palīgtehnoloģiju izmantošanai;</w:t>
      </w:r>
    </w:p>
    <w:p w14:paraId="2AE23792" w14:textId="6B0D5125" w:rsidR="00896DC0" w:rsidRDefault="407DE4EE" w:rsidP="200C443E">
      <w:pPr>
        <w:pStyle w:val="ListParagraph"/>
        <w:widowControl w:val="0"/>
        <w:numPr>
          <w:ilvl w:val="0"/>
          <w:numId w:val="1"/>
        </w:numPr>
        <w:spacing w:after="0"/>
        <w:jc w:val="left"/>
      </w:pPr>
      <w:r>
        <w:t xml:space="preserve">dažās lapās ir tādi satura elementi kā tabulas un sānu izvēlnes, kas var nebūt pieejamas;</w:t>
      </w:r>
    </w:p>
    <w:p w14:paraId="6CF69CF9" w14:textId="1E9D0B6C" w:rsidR="00896DC0" w:rsidRDefault="407DE4EE">
      <w:pPr>
        <w:pStyle w:val="ListParagraph"/>
        <w:widowControl w:val="0"/>
        <w:numPr>
          <w:ilvl w:val="0"/>
          <w:numId w:val="1"/>
        </w:numPr>
        <w:spacing w:after="0"/>
        <w:jc w:val="left"/>
      </w:pPr>
      <w:r>
        <w:t xml:space="preserve">dažu vietrāžu (URL) nosaukumi ir neskaidri vai nepareizi;</w:t>
      </w:r>
    </w:p>
    <w:p w14:paraId="427C5223" w14:textId="1EB5E7DE" w:rsidR="00BE0E7F" w:rsidRDefault="0803AE8C" w:rsidP="200C443E">
      <w:pPr>
        <w:pStyle w:val="ListParagraph"/>
        <w:widowControl w:val="0"/>
        <w:numPr>
          <w:ilvl w:val="0"/>
          <w:numId w:val="1"/>
        </w:numPr>
        <w:spacing w:after="0"/>
        <w:jc w:val="left"/>
      </w:pPr>
      <w:r>
        <w:t xml:space="preserve">daži elementi nav pilnībā pielāgoti lietošanai mobilās ierīcēs.</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lappuse no </w:t>
            </w:r>
            <w:r>
              <w:rPr>
                <w:b/>
                <w:color w:val="2B579A"/>
                <w:sz w:val="24"/>
                <w:shd w:val="clear" w:color="auto" w:fill="E6E6E6"/>
              </w:rPr>
              <w:fldChar w:fldCharType="begin" w:dirty="true"/>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954723">
        <w:pPr>
          <w:pStyle w:val="Footer"/>
        </w:pPr>
        <w:sdt>
          <w:sdtPr>
            <w:id w:val="-1245179179"/>
            <w:dataBinding w:xpath="/Author/Addresses/Address[Id = 'f03b5801-04c9-4931-aa17-c6d6c70bc579']/Footer" w:storeItemID="{EBD4A2BB-D3C2-4E81-B1F9-6FB82AC3CEB9}"/>
            <w:text w:multiLine="1"/>
          </w:sdtPr>
          <w:sdtEndPr/>
          <w:sdtContent>
            <w:r>
              <w:rPr>
                <w:i/>
                <w:iCs/>
              </w:rPr>
              <w:t xml:space="preserve">Commission européenne/Europese Commissie, 1049 Bruxelles/Brussel, BELGIQUE/BELGIË</w:t>
            </w:r>
            <w:r>
              <w:t xml:space="preserve"> - tālr. +32 22991111</w:t>
            </w:r>
          </w:sdtContent>
        </w:sdt>
      </w:p>
      <w:p w14:paraId="4B889E1A" w14:textId="5AE6768E" w:rsidR="00EC7351" w:rsidRDefault="00954723">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t xml:space="preserve">     </w:t>
            </w:r>
          </w:sdtContent>
        </w:sdt>
      </w:p>
      <w:p w14:paraId="532621B0" w14:textId="77777777" w:rsidR="00EC7351" w:rsidRDefault="00954723">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BE" w:vendorID="64" w:dllVersion="0" w:nlCheck="1" w:checkStyle="0"/>
  <w:proofState w:spelling="dirty"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v-LV"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lv/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EIROPAS KOMISIJA</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Nodarbinātības, sociālo lietu un iekļautības ĢENERĀLDIREKTORĀTS</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E direktorāts: darbaspēka mobilitāte un starptautiskie jautājumi</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E1 nodaļa: darbaspēka mobilitāte, valsts nodarbinātības dienesti, EDI</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tālr.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BD4A2BB-D3C2-4E81-B1F9-6FB82AC3CEB9}">
  <ds:schemaRefs/>
</ds:datastoreItem>
</file>

<file path=customXml/itemProps3.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Pages>
  <Words>599</Words>
  <Characters>3420</Characters>
  <Application>Microsoft Office Word</Application>
  <DocSecurity>0</DocSecurity>
  <PresentationFormat>Microsoft Word 14.0</PresentationFormat>
  <Lines>28</Lines>
  <Paragraphs>8</Paragraphs>
  <ScaleCrop>true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SUNDARA SEGARAN Maxine (EMPL-EXT)</cp:lastModifiedBy>
  <cp:revision>2</cp:revision>
  <cp:lastPrinted>2021-10-25T20:16:00Z</cp:lastPrinted>
  <dcterms:created xsi:type="dcterms:W3CDTF">2024-01-09T14:21:00Z</dcterms:created>
  <dcterms:modified xsi:type="dcterms:W3CDTF">2024-01-09T14:21:00Z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